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792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53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8430A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изделий медицинского назначения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79248D" w:rsidRDefault="00BC29A1" w:rsidP="0079248D">
      <w:pPr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Наименование:</w:t>
      </w:r>
      <w:r w:rsidR="005302E4" w:rsidRPr="005302E4">
        <w:rPr>
          <w:color w:val="000000"/>
        </w:rPr>
        <w:t xml:space="preserve"> </w:t>
      </w:r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активно-пассивный тренажер для верхних и нижних конечностей, установка для ультразвуковой механизированной </w:t>
      </w:r>
      <w:proofErr w:type="spellStart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предстерилизационной</w:t>
      </w:r>
      <w:proofErr w:type="spell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очистки инструментов, велотренажер магнитный (с педалями), эллиптический тренажер (лыжи), </w:t>
      </w:r>
      <w:proofErr w:type="spellStart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фитбол</w:t>
      </w:r>
      <w:proofErr w:type="spell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гладкий, </w:t>
      </w:r>
      <w:proofErr w:type="spellStart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фитбол</w:t>
      </w:r>
      <w:proofErr w:type="spell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массажный, обруч металлический диаметров 80 см., обруч металлический диаметров 90 см., палка гимнастическая деревянная, диск «Грация» металлический, тренажер </w:t>
      </w:r>
      <w:proofErr w:type="spellStart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Степп</w:t>
      </w:r>
      <w:proofErr w:type="spell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, кушетка для массажа, тренажер для пальцев рук, реабилитационные параллельные перила, вариант исполнения: с препятствиями, модульная лестница</w:t>
      </w:r>
      <w:proofErr w:type="gram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вариант исполнения 3+5+пандус, комплекс для восстановления навыков мелкой моторики (3 стола с набором из 13 тренажеров), комплект стендов и лабиринтов для мануальных навыков (стенды, дом, одежда, тактильный, лабиринты змеевик, спираль, </w:t>
      </w:r>
      <w:proofErr w:type="spellStart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комби</w:t>
      </w:r>
      <w:proofErr w:type="spellEnd"/>
      <w:r w:rsidR="0079248D" w:rsidRPr="0079248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79248D" w:rsidRPr="0079248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.</w:t>
      </w:r>
    </w:p>
    <w:tbl>
      <w:tblPr>
        <w:tblW w:w="10915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096"/>
        <w:gridCol w:w="1417"/>
        <w:gridCol w:w="851"/>
        <w:gridCol w:w="1984"/>
      </w:tblGrid>
      <w:tr w:rsidR="00C86DED" w:rsidRPr="00660346" w:rsidTr="00637186">
        <w:trPr>
          <w:trHeight w:val="1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sz w:val="20"/>
              </w:rPr>
              <w:t> </w:t>
            </w: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№ лота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Наименование товара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Сумма, выделенная для закупа</w:t>
            </w: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 тенге</w:t>
            </w:r>
          </w:p>
        </w:tc>
      </w:tr>
      <w:tr w:rsidR="00C86DED" w:rsidRPr="00660346" w:rsidTr="00637186">
        <w:trPr>
          <w:trHeight w:val="65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№1: «Активно-пассивный тренажер для верхних и нижних конечностей»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3 960 000,00</w:t>
            </w:r>
          </w:p>
        </w:tc>
      </w:tr>
      <w:tr w:rsidR="00C86DED" w:rsidRPr="00660346" w:rsidTr="00637186">
        <w:trPr>
          <w:trHeight w:val="6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Лот № 2 </w:t>
            </w:r>
            <w:r w:rsidRPr="00637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63718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Установка  для ультразвуковой механизированной </w:t>
            </w:r>
            <w:proofErr w:type="spellStart"/>
            <w:r w:rsidRPr="0063718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предстерилизационной</w:t>
            </w:r>
            <w:proofErr w:type="spellEnd"/>
            <w:r w:rsidRPr="0063718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 очистки инструментов</w:t>
            </w:r>
            <w:r w:rsidRPr="00637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345 000,00</w:t>
            </w:r>
          </w:p>
        </w:tc>
      </w:tr>
      <w:tr w:rsidR="00C86DED" w:rsidRPr="00660346" w:rsidTr="00637186">
        <w:trPr>
          <w:trHeight w:val="43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3 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Велотренажер магнитный</w:t>
            </w:r>
            <w:r w:rsidR="006371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(с педалями)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98 430,00</w:t>
            </w:r>
          </w:p>
        </w:tc>
      </w:tr>
      <w:tr w:rsidR="00C86DED" w:rsidRPr="00660346" w:rsidTr="00637186">
        <w:trPr>
          <w:trHeight w:val="31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4 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Эллиптический тренажер (лыжи)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137 500,00</w:t>
            </w:r>
          </w:p>
        </w:tc>
      </w:tr>
      <w:tr w:rsidR="00C86DED" w:rsidRPr="00660346" w:rsidTr="00637186">
        <w:trPr>
          <w:trHeight w:val="50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pStyle w:val="2"/>
              <w:rPr>
                <w:b w:val="0"/>
                <w:bCs w:val="0"/>
                <w:color w:val="1D2127"/>
                <w:spacing w:val="-15"/>
                <w:sz w:val="20"/>
                <w:szCs w:val="20"/>
              </w:rPr>
            </w:pPr>
            <w:r w:rsidRPr="00637186">
              <w:rPr>
                <w:b w:val="0"/>
                <w:color w:val="000000"/>
                <w:sz w:val="20"/>
                <w:szCs w:val="20"/>
              </w:rPr>
              <w:t>Лот № 5 «Гимнастический мяч (</w:t>
            </w:r>
            <w:r w:rsidRPr="00637186">
              <w:rPr>
                <w:b w:val="0"/>
                <w:color w:val="1D2127"/>
                <w:spacing w:val="-15"/>
                <w:sz w:val="20"/>
                <w:szCs w:val="20"/>
              </w:rPr>
              <w:t>ФИТБОЛ)  гладкий</w:t>
            </w:r>
            <w:r w:rsidRPr="00637186">
              <w:rPr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31 000,00</w:t>
            </w:r>
          </w:p>
        </w:tc>
      </w:tr>
      <w:tr w:rsidR="00C86DED" w:rsidRPr="00660346" w:rsidTr="00637186">
        <w:trPr>
          <w:trHeight w:val="49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6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«Гимнастический  мяч (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ФИТБОЛ) массажный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41 000,00</w:t>
            </w:r>
          </w:p>
        </w:tc>
      </w:tr>
      <w:tr w:rsidR="00C86DED" w:rsidRPr="00660346" w:rsidTr="00637186">
        <w:trPr>
          <w:trHeight w:val="70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7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Обруч металлический, диаметр 80 см.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16 500,00</w:t>
            </w:r>
          </w:p>
        </w:tc>
      </w:tr>
      <w:tr w:rsidR="00C86DED" w:rsidRPr="00660346" w:rsidTr="00637186">
        <w:trPr>
          <w:trHeight w:val="55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8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Обруч металлический, диаметр 90 см.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18 500,00</w:t>
            </w:r>
          </w:p>
        </w:tc>
      </w:tr>
      <w:tr w:rsidR="00C86DED" w:rsidRPr="00660346" w:rsidTr="00637186">
        <w:trPr>
          <w:trHeight w:val="42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C86D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9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Палка гимнастическая деревянная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C86DED" w:rsidRPr="00660346" w:rsidTr="00637186">
        <w:trPr>
          <w:trHeight w:val="64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10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Диск «Грация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металлический»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15 600,00</w:t>
            </w:r>
          </w:p>
        </w:tc>
      </w:tr>
      <w:tr w:rsidR="00C86DED" w:rsidRPr="00660346" w:rsidTr="00637186">
        <w:trPr>
          <w:trHeight w:val="56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11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Тренажер СТЕПП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47 000,00</w:t>
            </w:r>
          </w:p>
        </w:tc>
      </w:tr>
      <w:tr w:rsidR="00C86DED" w:rsidRPr="00660346" w:rsidTr="00637186">
        <w:trPr>
          <w:trHeight w:val="55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12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Кушетка для массажа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67 500,00</w:t>
            </w:r>
          </w:p>
        </w:tc>
      </w:tr>
      <w:tr w:rsidR="00C86DED" w:rsidRPr="00660346" w:rsidTr="00637186">
        <w:trPr>
          <w:trHeight w:val="69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13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Тренажер для пальцев рук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191 500,00</w:t>
            </w:r>
          </w:p>
        </w:tc>
      </w:tr>
      <w:tr w:rsidR="00C86DED" w:rsidRPr="00660346" w:rsidTr="00637186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14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Реабилитационные параллельные перила «</w:t>
            </w:r>
            <w:proofErr w:type="spellStart"/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», вариант исполнения: с препятствиями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493 000,00</w:t>
            </w:r>
          </w:p>
        </w:tc>
      </w:tr>
      <w:tr w:rsidR="00C86DED" w:rsidRPr="00660346" w:rsidTr="00637186">
        <w:trPr>
          <w:trHeight w:val="56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15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37186">
              <w:rPr>
                <w:rFonts w:ascii="Times New Roman" w:hAnsi="Times New Roman" w:cs="Times New Roman"/>
                <w:sz w:val="20"/>
                <w:szCs w:val="20"/>
              </w:rPr>
              <w:t xml:space="preserve">Модульная лестница «STEP»  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Вариант исполнения 3+5+ пандус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411 000,00</w:t>
            </w:r>
          </w:p>
        </w:tc>
      </w:tr>
      <w:tr w:rsidR="00C86DED" w:rsidRPr="00660346" w:rsidTr="00637186">
        <w:trPr>
          <w:trHeight w:val="68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16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Комплекс «ERGO» для восстановления навыков мелкой моторики (3 стола с набором из 13 тренажеров)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1 020 000,00</w:t>
            </w:r>
          </w:p>
        </w:tc>
      </w:tr>
      <w:tr w:rsidR="00C86DED" w:rsidRPr="00660346" w:rsidTr="00637186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C86DED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63718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17</w:t>
            </w:r>
            <w:r w:rsid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стендов и лабиринтов для мануальных навыков (Стенды Дом, Одежда, Тактильный,  Лабиринты Змеевик, Спираль, </w:t>
            </w:r>
            <w:proofErr w:type="spellStart"/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86DED" w:rsidRPr="00637186" w:rsidRDefault="00C86DED" w:rsidP="00A05D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645 500,00</w:t>
            </w:r>
          </w:p>
        </w:tc>
      </w:tr>
    </w:tbl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30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17-00 ч, перерыв на обед: с 13-00</w:t>
      </w:r>
      <w:r w:rsidR="007924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 до 14-00</w:t>
      </w:r>
      <w:r w:rsidR="007924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но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ября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»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.00 часов 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«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07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9248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ноября »</w:t>
      </w:r>
      <w:r w:rsidR="0079248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по следующ</w:t>
      </w:r>
      <w:r w:rsidR="00F843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ему адресу: РК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302E4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медицинского назначения и </w:t>
      </w:r>
      <w:r w:rsidR="008A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815D8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02E4"/>
    <w:rsid w:val="0053291E"/>
    <w:rsid w:val="0058430A"/>
    <w:rsid w:val="005D6357"/>
    <w:rsid w:val="0061424F"/>
    <w:rsid w:val="00637186"/>
    <w:rsid w:val="006654D9"/>
    <w:rsid w:val="006A67B6"/>
    <w:rsid w:val="006F618A"/>
    <w:rsid w:val="00707AC7"/>
    <w:rsid w:val="007250AA"/>
    <w:rsid w:val="007622DB"/>
    <w:rsid w:val="00773BCD"/>
    <w:rsid w:val="0079248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D0389"/>
    <w:rsid w:val="00BC29A1"/>
    <w:rsid w:val="00C1700F"/>
    <w:rsid w:val="00C86DED"/>
    <w:rsid w:val="00CC2E4C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  <w:rsid w:val="00F8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character" w:styleId="a5">
    <w:name w:val="Strong"/>
    <w:uiPriority w:val="22"/>
    <w:qFormat/>
    <w:rsid w:val="00C86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2018-05-03T09:50:00Z</dcterms:created>
  <dcterms:modified xsi:type="dcterms:W3CDTF">2019-10-16T09:38:00Z</dcterms:modified>
</cp:coreProperties>
</file>