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5"/>
          <w:bCs w:val="0"/>
          <w:sz w:val="24"/>
          <w:szCs w:val="24"/>
        </w:rPr>
      </w:pPr>
    </w:p>
    <w:p w:rsidR="00552CBB" w:rsidRP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Рудный </w:t>
      </w:r>
      <w:r>
        <w:rPr>
          <w:rStyle w:val="a5"/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аласы </w:t>
      </w:r>
      <w:r w:rsidR="004636D8"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03.03</w:t>
      </w:r>
      <w:r w:rsidR="00B46024">
        <w:rPr>
          <w:rStyle w:val="a5"/>
          <w:rFonts w:ascii="Times New Roman" w:hAnsi="Times New Roman" w:cs="Times New Roman"/>
          <w:sz w:val="24"/>
          <w:szCs w:val="24"/>
        </w:rPr>
        <w:t>.2022</w:t>
      </w:r>
      <w:r>
        <w:rPr>
          <w:rStyle w:val="a5"/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4D0448" w:rsidRPr="004D0448" w:rsidRDefault="004D0448" w:rsidP="004636D8">
      <w:pPr>
        <w:spacing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044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Алдағы тендер туралы хабарландыру</w:t>
      </w:r>
    </w:p>
    <w:p w:rsidR="00BB5D57" w:rsidRPr="004D0448" w:rsidRDefault="004D0448" w:rsidP="004D0448">
      <w:pPr>
        <w:spacing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4D044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Қостанай облысы әкімдігінің денсаулық сақтау басқармасының «Рудный қалалық емханасы» коммуналдық мемлекеттік кәсіпорны «РЕАКТИВ» сатып алу бойынша тендер жариялайды</w:t>
      </w:r>
      <w:r w:rsidR="00BB5D57" w:rsidRPr="004D044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W w:w="11479" w:type="dxa"/>
        <w:jc w:val="center"/>
        <w:tblInd w:w="-881" w:type="dxa"/>
        <w:tblLayout w:type="fixed"/>
        <w:tblLook w:val="0000" w:firstRow="0" w:lastRow="0" w:firstColumn="0" w:lastColumn="0" w:noHBand="0" w:noVBand="0"/>
      </w:tblPr>
      <w:tblGrid>
        <w:gridCol w:w="406"/>
        <w:gridCol w:w="1072"/>
        <w:gridCol w:w="1987"/>
        <w:gridCol w:w="784"/>
        <w:gridCol w:w="1022"/>
        <w:gridCol w:w="1107"/>
        <w:gridCol w:w="1122"/>
        <w:gridCol w:w="1569"/>
        <w:gridCol w:w="851"/>
        <w:gridCol w:w="1490"/>
        <w:gridCol w:w="69"/>
      </w:tblGrid>
      <w:tr w:rsidR="007360EC" w:rsidRPr="004636D8" w:rsidTr="00A04246">
        <w:trPr>
          <w:gridAfter w:val="1"/>
          <w:wAfter w:w="69" w:type="dxa"/>
          <w:trHeight w:val="80"/>
          <w:jc w:val="center"/>
        </w:trPr>
        <w:tc>
          <w:tcPr>
            <w:tcW w:w="114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9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Лота </w:t>
            </w: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Тапсырыс берушінің атауы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Тауардың атауы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 бірлігі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Жеткізу шарттары (ИНКОТЕРМС 2010 сәйкес)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 мерзі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Тауарды жеткізу орны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Аванстық тө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лем м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өлшері, %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Сатып 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 бөлінген сома, теңге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342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EIGHTCHECK-3WP H 1.5ml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130 635,0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EIGHTCHECK- 3WP N 1.5 ml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130 635,0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EIGHTCHECK- 3WP L 1.5ml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130 635,0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Cellpak 20л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8 533 800,0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Stromatolyser-WH     (3*500мл)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9 828 000,0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CellClean (CL-50) 50мл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544 320,00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i-Chroma  HbA1c   Гликолизированный гемоглобин (25тестов)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8 100 000,0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емханас» КМК 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Ақуыз сезімталдығы 0,1-10,0 г/л "АUТИОN TM ELEVEN" зәр анализаторына арналған 10ea АUТИОN Sticks (100тест) Тест-жолақтары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5 692 500,0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Aution Eleven Анализатор жиынтығынан Актион чек плюс (Aution check plus)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379 050,0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i-Chroma Тропонин-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gramEnd"/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693 500,0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Uriscan PRO зәр Анализаторы жиынтығынан uriscan 11 ACR strip сынақ жолақтары (100 тест)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СРБ-латекс  агглютинация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337 632,0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Ревматоидты фактордың латекс агглютинациясы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101 592,0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100 анықтауға біртұтас колориметриялық әдіс бойынша кальций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49 410,0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Фиксатор по Май-Грюнвельда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Буфері бар Романовский бояуы, 1л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112 500,0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17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Сульфосалицил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 қыш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қыл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79 630,0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Лимон қышқылды Натрий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14 040,0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Талдау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 арналған натрий хлориді (чда)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9 580,0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Глицерин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14 620,0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Иммерсиялық май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7 200,0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Нәжістің клиникалық талдауына арналған реагенттер жинағы, № 1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жиынтық 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 дана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192 600,0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Циль-Нильсен бойынша (фуксинмен) 100 анықтамаға бояу жинағы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109 125,0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Аққу - чек Актив глюкометріне арналған № 50 қандағы глюкозаны анықтауға арналған Тест жолақтары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1 152 000,0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Аққу глюкометріне арналған қандағы глюкозаны анықтауға арналған №50 жолақтың тесті-Перформа 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1 890 000,0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РМП арналған кардиолипинді Антиген № 1 жиынтық (2мл этил абсолютирленген спирттегі кардиолипинді антиген және бақылау сарысуларымен жиынтықталмаған 1000 үлгіге 2фл холин-хлоридтің 5мл ерітіндісі)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реагентов «Сыворотки контрольные для диагностики 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сифилиса-положительная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»10 флаконов по 1 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130 680,0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Реагенттер жиынтығы " мерезді диагностикалауға арналған бақылау Сарысулары.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Теріс"1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мл-ден 10 құты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Жыл ішінде Тапсырыс берушінің келісілген кестесі бойынша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Реагенттер жиынтығы " мерезді диагностикалауға арналған бақылау Сарысулары.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Әлсіз оң"1 мл-ден 10 құты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113 400,0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D-0558 В гепатиті беттік антиген HBsAg (растаушы тест) (жиынтық 1)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84 240,0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D-0776 Бест анти-СВГ (растаушы тест)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103 716,0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D-0772 RecombiBest анти-HCV 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175 068,0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4D5156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D-0556 B-HBs антиген жолағы 12 x 8 сынақтары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175 068,0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 анти-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супер флакон-тамшылатқыш 10 мл № 10 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Жыл ішінде Тапсырыс берушінің келісілген кестесі бойынша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117 720,0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Цоликлон Анти – А         флако</w:t>
            </w:r>
            <w:proofErr w:type="gramStart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н-</w:t>
            </w:r>
            <w:proofErr w:type="gramEnd"/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тамшылатқыш 10 мл № 10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56 160,0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RFMK-сынақ флакон нұсқасы 200 анықтауға арналған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56 160,0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Түтік щеткалары №1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280 800,0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Панченков капиллярлары (ЭТЖ метрі үшін)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75 600,0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Көзілді</w:t>
            </w:r>
            <w:proofErr w:type="gramStart"/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ік 24х50х0,18 мм (пакет 500 дана)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RFMK-сынақ флакон нұсқасы 200 анықтауға арналған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Жыл ішінде Тапсырыс берушінің келісілген кестесі бойынша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41 760,0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41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26×76 мм х 2,0 сырғымалы, тік бұрышты, өлшемі 26×76 мм, қалыңдығы 2,0 мм, жиектері тегістелген, жағындыларды созуға арналған жағындыларды созуға арналған CO-2 әйнек.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472 990,0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Центрифуга тү</w:t>
            </w:r>
            <w:proofErr w:type="gramStart"/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7360EC">
              <w:rPr>
                <w:rFonts w:ascii="Times New Roman" w:hAnsi="Times New Roman" w:cs="Times New Roman"/>
                <w:sz w:val="20"/>
                <w:szCs w:val="20"/>
              </w:rPr>
              <w:t>іктері 10 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Жиектері жылтыратылған сырғымалар 76,2x25,4мм 1мм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76,2x25,4 мм 1 мм жазуға арналған жолағы бар жылтыратылған жиектері бар слайдтар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дана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336 680,0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Аланинаминотрансфераза биохимиялық реагенттер жиынтығынан биохимиялық анализатор-турбидиметриялық BA400, BioSystems S.A (Испания) шығарған, бауыр профилі; 2-гидроксиглутарат/L-аланин, кинетика; сұйық монореагент, зерттеулер саны -1800 </w:t>
            </w: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қаптама 8х60мл + 8х15мл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1 138 655,0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46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ASPARTATMINOTRANSFERASE жинақтағы биохимиялық реагенттер жинағы Биохимиялық анализатор-турбидиметриялық BA400, BioSystems S.A (Испания) шығарған, бауыр профилі; 2-гидроксиглутарат/L-аспартат, кинетика; сұйық монореагент, зерттеулер саны - 1800, қаптама 8х60мл + 8х15мл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895 720,0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BILIRUBIN (GENERAL) биохимиялық реагенттер жинағы биохимиялық-турбидиметриялық анализатор BA400, BioSystems S.A (Испания) шығарған, бауыр профилі; диазосульфонил қышқылы, соңғы нүкте; сұйық қос агент, зерттеулер саны - 1800, қаптама 8х60мл + 8х15мл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5 957 550,0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BILIRUBIN (DIRECT) жинақтағы биохимиялық реагенттер жинағы Биохимиялық анализатор-турбидиметриялық BA400, BioSystems S.A (Испания) шығарған, бауыр профилі; диазосульфонил қышқылы/натрий нитриті, соңғы нүкте; сұйық қос агент, зерттеу саны – 900, қаптама 300мл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9 097 875,0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қалалық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ГЛЮКОЗА биохимиялық реагенттер жинағы </w:t>
            </w: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биохимиялық-турбидиметриялық анализатор BA400, BioSystems S.A (Испания) шығарған, диабеттік профиль; глюкоза оксидазасының соңғы нүктесі; сұйық монореагент, зерттеу саны – 1800, қаптама 10х60 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инкотерм 2010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Жыл ішінде Тапсырыс берушінің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472 990,0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50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КРЕАТИНИН биохимиялық реагенттер жинағы биохимиялық-турбидиметриялық анализатор BA400, BioSystems S.A (Испания) шығарған, бүйрек профилі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URIC ACID жинақтағы биохимиялық реагенттер жинағы Биохимиялық анализатор – турбидиметриялық BA400, BioSystems S.A (Испания) шығарған, бүйрек профилі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876 000,0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UREA биохимиялық реагенттер жинағы биохимиялық-турбидиметриялық анализатор BA400, BioSystems S.A (Испания) шығарған, бүйрек профилі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336 680,0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TOTAL PROTEIN BA400 биохимиялық-турбидиметриялық анализатор жинағынан биохимиялық реагенттер жиынтығы, BioSystems S.A (Испания) шығарған, жалпы скринингтік профиль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1 138 655,0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ТРИГЛИЦЕРИДТЕР BioSystems S.A </w:t>
            </w: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(Испания) шығарған BA400 биохимиялық-турбидиметриялық анализатор жинағынан алынған биохимиялық реагенттер жиынтығы, жалпы скрининг профилі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инкотерм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Жыл ішінде Тапсырыс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895 720,0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55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Жинақтағы CHOLESTEROL биохимиялық реагенттер жинағы Биохимиялық-турбидиметриялық анализатор BA400, BioSystems S.A (Испания) шығарған, липидті профиль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5 957 550,0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HDL-CHOLESTEROL биохимиялық реагенттер жинағы биохимиялық-турбидиметриялық анализатор BA400, BioSystems S.A (Испания) шығарған, липидті профиль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9 097 875,0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LDL-CHOLESTEROL биохимиялық реагенттер жиынтығынан биохимиялық-турбидиметриялық анализатор BA400, BioSystems S.A (Испания) шығарған, липидті профиль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472 990,0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74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АЛЬФА-АМИЛАЗА ПРЯМАЯ биохимиялық реагенттер жиынтығынан биохимиялық-турбидиметриялық анализатор BA400, BioSystems S.A (Испания) шығарған, панкреатикалық профиль; тікелей субстрат, кинетика; сұйық монореагент, зерттеулер саны – 480, қаптама 8х20мл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1 126 110,0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59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СІЛТІ ФОСФАТАЗА DEA жинақтағы биохимиялық реагенттер жинағы Биохимиялық анализатор-турбидиметриялық BA400, BioSystems S.A (Испания) шығарған, бауыр профилі; диетаноламинді буфер, кинетика; сұйық монореагент, зерттеу саны – 900, қаптама 4х60мл, 4х15мл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357 560,0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IRON (FERROZINE) биохимиялық реагенттер жиынтығынан биохимиялық-турбидиметриялық анализатор BA400, BioSystems S.A (Испания), PK-MT-7 No 012210 7 No 012210 шығарған, анемия диагностикасы; феррозин, соңғы нүкте; сұйық бірагент, зерттеулер саны - 900, қаптама 4х60мл + 4х15мл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313 120,0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80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61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ТЕМІРМЕН БАЙЛАНЫСТЫРУ ҚАБІЛЕТІ BioSystems S.A (Испания), PK-MT-7 № 012210 анемия диагностикасы шығарған биохимиялық-турбидиметриялық анализатор BA400 жинағынан биохимиялық реагенттер жиынтығы; феррозин, соңғы нүкте; сұйық қос агент, зерттеулер саны – 1800, қаптама 10х60мл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216 180,0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62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Жиынтықтан ГАММА-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ГЛУТАМИЛТРАНСФЕРАЗА биохимиялық-ТУРБИДИМЕТРИЯЛЫҚ ВА400 4x60 мл+4х15 мл талдаушы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инкотерм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Жыл ішінде Тапсырыс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296 420,0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63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Биохимиялық КАЛИБРАТОР (Human) жиынтықтан биохимиялық-ТУРБИДИМЕТРИЯЛЫҚ ВА400, 5Х5МЛ талдауыш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289 710,0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64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Биохимиялық бақылау сарысуы (HUMAN) l деңгейі жиынтықтан биохимиялық - ТУРБИДИМЕТРИЯЛЫҚ ВА400 талдауышы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289 710,0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44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65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spacing w:line="288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Биохимиялық бақылау сарысуы (HUMAN) 2 - деңгей жиынтықтан биохимиялық-ТУРБИДИМЕТРИЯЛЫҚ ВА400 талдауышы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289 710,0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66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Реакция роторы (10) BA400 биохимиялық турбидиметриялық талдауыш жиынтығынан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247 200,0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67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ҚОӘДСБ «Рудный 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Үлгілерге арналған кюветтер (1000) жиынтықтан биохимиялық-ТУРБИДИМЕТРИЯЛЫҚ BA400 талдауышы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орам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инкотерм 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Жыл ішінде Тапсырыс 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182 850,0</w:t>
            </w:r>
          </w:p>
        </w:tc>
      </w:tr>
      <w:tr w:rsidR="007360EC" w:rsidRPr="007360EC" w:rsidTr="00736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8"/>
          <w:jc w:val="center"/>
        </w:trPr>
        <w:tc>
          <w:tcPr>
            <w:tcW w:w="40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68</w:t>
            </w:r>
          </w:p>
        </w:tc>
        <w:tc>
          <w:tcPr>
            <w:tcW w:w="107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ҚОӘДСБ «Рудный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қалалық емханас» КМК</w:t>
            </w:r>
          </w:p>
        </w:tc>
        <w:tc>
          <w:tcPr>
            <w:tcW w:w="19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Жиынтықтан алынған 500-мл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концентрацияланған жуу ерітіндісі биохимиялық-ТУРБИДИМЕТРИЯЛЫҚ BA400 талдауышы</w:t>
            </w:r>
          </w:p>
        </w:tc>
        <w:tc>
          <w:tcPr>
            <w:tcW w:w="7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жинақ</w:t>
            </w:r>
          </w:p>
        </w:tc>
        <w:tc>
          <w:tcPr>
            <w:tcW w:w="10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DDP (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инкотерм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2010 жылдан бастап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Жыл ішінде Тапсырыс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берушінің келісілген кестесі бойынша 31.12.2022 жылға дейін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Костанай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обл.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Рудный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қаласы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Қазанның 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Жылдық көшесі 1</w:t>
            </w: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60EC" w:rsidRPr="007360EC" w:rsidRDefault="007360EC" w:rsidP="00F65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0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311 180,0</w:t>
            </w:r>
          </w:p>
        </w:tc>
      </w:tr>
    </w:tbl>
    <w:p w:rsidR="00BB5D57" w:rsidRPr="004D0448" w:rsidRDefault="00BB5D57" w:rsidP="00552CBB">
      <w:pPr>
        <w:jc w:val="both"/>
        <w:rPr>
          <w:rStyle w:val="a5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A04246" w:rsidRPr="00BB5D57" w:rsidRDefault="00A04246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BB5D57" w:rsidRPr="00BB5D57" w:rsidRDefault="00BB5D57" w:rsidP="00552CBB">
      <w:pPr>
        <w:jc w:val="both"/>
        <w:rPr>
          <w:rStyle w:val="a5"/>
          <w:rFonts w:ascii="Times New Roman" w:hAnsi="Times New Roman" w:cs="Times New Roman"/>
          <w:sz w:val="24"/>
          <w:szCs w:val="24"/>
          <w:lang w:val="kk-KZ"/>
        </w:rPr>
      </w:pPr>
    </w:p>
    <w:p w:rsidR="007D43FC" w:rsidRDefault="007622D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«Рудненская городская поликлиника» Управления здравоохранения акиматаКостанайской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12548E">
        <w:rPr>
          <w:rFonts w:ascii="Times New Roman" w:hAnsi="Times New Roman" w:cs="Times New Roman"/>
          <w:sz w:val="24"/>
          <w:szCs w:val="24"/>
        </w:rPr>
        <w:t>РЕАКТИВОВ</w:t>
      </w:r>
      <w:r w:rsidR="00032DBE">
        <w:rPr>
          <w:rFonts w:ascii="Times New Roman" w:hAnsi="Times New Roman" w:cs="Times New Roman"/>
          <w:sz w:val="24"/>
          <w:szCs w:val="24"/>
        </w:rPr>
        <w:t>»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479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1416"/>
        <w:gridCol w:w="1483"/>
        <w:gridCol w:w="929"/>
        <w:gridCol w:w="877"/>
        <w:gridCol w:w="1107"/>
        <w:gridCol w:w="1122"/>
        <w:gridCol w:w="1569"/>
        <w:gridCol w:w="851"/>
        <w:gridCol w:w="1490"/>
        <w:gridCol w:w="69"/>
      </w:tblGrid>
      <w:tr w:rsidR="009E1779" w:rsidRPr="00BA4782" w:rsidTr="00BA4782">
        <w:trPr>
          <w:gridAfter w:val="1"/>
          <w:wAfter w:w="69" w:type="dxa"/>
          <w:trHeight w:val="325"/>
          <w:jc w:val="center"/>
        </w:trPr>
        <w:tc>
          <w:tcPr>
            <w:tcW w:w="114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1779" w:rsidRPr="00BA4782" w:rsidRDefault="009E1779" w:rsidP="00BA4782">
            <w:pPr>
              <w:rPr>
                <w:b/>
                <w:bCs/>
                <w:sz w:val="16"/>
              </w:rPr>
            </w:pP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9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b/>
                <w:bCs/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Срок выполнения</w:t>
            </w:r>
          </w:p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11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BA4782">
              <w:rPr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BA4782">
              <w:rPr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8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spacing w:line="65" w:lineRule="atLeast"/>
              <w:jc w:val="center"/>
              <w:rPr>
                <w:color w:val="000000"/>
                <w:sz w:val="16"/>
              </w:rPr>
            </w:pPr>
            <w:r w:rsidRPr="00BA4782">
              <w:rPr>
                <w:b/>
                <w:bCs/>
                <w:color w:val="000000"/>
                <w:sz w:val="16"/>
              </w:rPr>
              <w:t>10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EIGHTCHECK-3WP H   1.5ml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фл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EIGHTCHECK- 3WP N   1.5 ml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фл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EIGHTCHECK- 3WP L    1.5ml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фл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130 635,0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Cellpak       20л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8 533 800,0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Stromatolyser-WH     (3*500мл)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9 828 000,0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CellClean  (CL-50) 50мл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544 320,0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i-Chroma  HbA1c   Гликолизированный гемоглобин (25тестов)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8 100 000,0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Тест-полоски</w:t>
            </w:r>
            <w:proofErr w:type="gramEnd"/>
            <w:r w:rsidRPr="00BA4782">
              <w:rPr>
                <w:color w:val="000000"/>
                <w:sz w:val="16"/>
              </w:rPr>
              <w:t xml:space="preserve"> 10EA   АUТIОN Sticks  (100тестов) для анализатора мочи «АUТIОN TM ELEVEN  » с чувствительностью белка 0,1-10,0 г/л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5 692 500,0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Аутион чек плюс (Autioncheckplus) из комплекта Анализатор AutionEleven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379 050,0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i</w:t>
            </w:r>
            <w:proofErr w:type="gramEnd"/>
            <w:r w:rsidRPr="00BA4782">
              <w:rPr>
                <w:color w:val="000000"/>
                <w:sz w:val="16"/>
              </w:rPr>
              <w:t>-ChromaТропонин-I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693 500,0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Тест-полосы</w:t>
            </w:r>
            <w:proofErr w:type="gramEnd"/>
            <w:r w:rsidRPr="00BA4782">
              <w:rPr>
                <w:color w:val="000000"/>
                <w:sz w:val="16"/>
              </w:rPr>
              <w:t xml:space="preserve"> URISCAN 11 ACR strip из комплекта  Анализатор мочи Uriscan PRO (100 тестов)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557 000,0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СРБ-латекс  агглютинация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337 632,0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Ревматоидный фактор латекс агглютинация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101 592,0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Кальций унифицированным колориметрическим методом  на 100 опред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49 410,0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15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Фиксатор по Май-Грюнвельда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99 000,0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Краска </w:t>
            </w:r>
            <w:proofErr w:type="gramStart"/>
            <w:r w:rsidRPr="00BA4782">
              <w:rPr>
                <w:color w:val="000000"/>
                <w:sz w:val="16"/>
              </w:rPr>
              <w:t>Романовского</w:t>
            </w:r>
            <w:proofErr w:type="gramEnd"/>
            <w:r w:rsidRPr="00BA4782">
              <w:rPr>
                <w:color w:val="000000"/>
                <w:sz w:val="16"/>
              </w:rPr>
              <w:t xml:space="preserve"> с буфером, 1л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112 500,0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Сульфосалициловая кислота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79 630,0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Натрий лимоннокислый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14 040,0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Хлорид натрия  (чда) для анализа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9 580,0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Глицерин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14 620,0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Имерсионное  масло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7 200,0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Набор реагентов для клинического анализа кала, комплект №1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192 600,0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23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Набор окраски по Циль-Нильсену  (с фуксином)  на 100 определений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109 125,0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Тест полосы для определения глюкозы в крови №50 для глюкометраАкку-Чек Актив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1 152 000,0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Тест полосы для определения глюкозы в крови №50 для глюкометраАкку-Чек Перформа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150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1 890 000,0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Антиген кардиолипиновый для РМП комплект №1 (антиген кардиолипиновый в спирте этиловом абсолютированном  10ампул по 2мл и раствор холин-хлорида 2фл по 5мл на 1000 образцов без комплектации контрольными сыворотками</w:t>
            </w:r>
            <w:proofErr w:type="gramEnd"/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648 000,0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</w:t>
            </w:r>
            <w:proofErr w:type="gramStart"/>
            <w:r w:rsidRPr="00BA4782">
              <w:rPr>
                <w:color w:val="000000"/>
                <w:sz w:val="16"/>
              </w:rPr>
              <w:t>сифилиса-положительная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130 680,0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сифилиса. </w:t>
            </w:r>
            <w:proofErr w:type="gramStart"/>
            <w:r w:rsidRPr="00BA4782">
              <w:rPr>
                <w:color w:val="000000"/>
                <w:sz w:val="16"/>
              </w:rPr>
              <w:t>Отрицательная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113 400,0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Набор реагентов «Сыворотки контрольные для диагностики сифилиса. Слабо </w:t>
            </w:r>
            <w:proofErr w:type="gramStart"/>
            <w:r w:rsidRPr="00BA4782">
              <w:rPr>
                <w:color w:val="000000"/>
                <w:sz w:val="16"/>
              </w:rPr>
              <w:t>положительная</w:t>
            </w:r>
            <w:proofErr w:type="gramEnd"/>
            <w:r w:rsidRPr="00BA4782">
              <w:rPr>
                <w:color w:val="000000"/>
                <w:sz w:val="16"/>
              </w:rPr>
              <w:t>»10 флаконов по 1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113 400,0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D-0558  Гепатит</w:t>
            </w:r>
            <w:proofErr w:type="gramStart"/>
            <w:r w:rsidRPr="00BA4782">
              <w:rPr>
                <w:color w:val="000000"/>
                <w:sz w:val="16"/>
              </w:rPr>
              <w:t xml:space="preserve"> В</w:t>
            </w:r>
            <w:proofErr w:type="gramEnd"/>
            <w:r w:rsidRPr="00BA4782">
              <w:rPr>
                <w:color w:val="000000"/>
                <w:sz w:val="16"/>
              </w:rPr>
              <w:t xml:space="preserve"> поверхностный антиген HBsAg (подтверждающий тест) (комплект 1)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 xml:space="preserve">В течение года по согласованому графику Заказчика до 31.12.2022 </w:t>
            </w:r>
            <w:r w:rsidRPr="00BA4782">
              <w:rPr>
                <w:color w:val="000000"/>
                <w:sz w:val="16"/>
                <w:lang w:val="kk-KZ"/>
              </w:rPr>
              <w:lastRenderedPageBreak/>
              <w:t>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84 240,0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31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D-0776  Бест анти-ВГС (подтверждающий тест)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103 716,0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D-0772 РекомбиБест анти-ВГС стрип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175 068,0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4D5156"/>
                <w:sz w:val="16"/>
              </w:rPr>
            </w:pPr>
            <w:r w:rsidRPr="00BA4782">
              <w:rPr>
                <w:color w:val="000000"/>
                <w:sz w:val="16"/>
              </w:rPr>
              <w:t>D-</w:t>
            </w:r>
            <w:r w:rsidRPr="00BA4782">
              <w:rPr>
                <w:i/>
                <w:iCs/>
                <w:color w:val="000000"/>
                <w:sz w:val="16"/>
              </w:rPr>
              <w:t>0556</w:t>
            </w:r>
            <w:r w:rsidRPr="00BA4782">
              <w:rPr>
                <w:color w:val="000000"/>
                <w:sz w:val="16"/>
              </w:rPr>
              <w:t>В-HBs-антиген стрип 12 х 8 анализов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175 068,0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</w:rPr>
            </w:pPr>
            <w:r w:rsidRPr="00BA4782">
              <w:rPr>
                <w:sz w:val="16"/>
              </w:rPr>
              <w:t>Цоликлон</w:t>
            </w:r>
            <w:proofErr w:type="gramStart"/>
            <w:r w:rsidRPr="00BA4782">
              <w:rPr>
                <w:sz w:val="16"/>
              </w:rPr>
              <w:t xml:space="preserve"> А</w:t>
            </w:r>
            <w:proofErr w:type="gramEnd"/>
            <w:r w:rsidRPr="00BA4782">
              <w:rPr>
                <w:sz w:val="16"/>
              </w:rPr>
              <w:t xml:space="preserve">нти - D Супер  </w:t>
            </w:r>
            <w:r w:rsidRPr="00BA4782">
              <w:rPr>
                <w:sz w:val="16"/>
              </w:rPr>
              <w:br/>
              <w:t>флакон-капельница № 10 по10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117 720,0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Цоликлон</w:t>
            </w:r>
            <w:proofErr w:type="gramStart"/>
            <w:r w:rsidRPr="00BA4782">
              <w:rPr>
                <w:color w:val="000000"/>
                <w:sz w:val="16"/>
              </w:rPr>
              <w:t xml:space="preserve"> А</w:t>
            </w:r>
            <w:proofErr w:type="gramEnd"/>
            <w:r w:rsidRPr="00BA4782">
              <w:rPr>
                <w:color w:val="000000"/>
                <w:sz w:val="16"/>
              </w:rPr>
              <w:t>нти – А         флакон-капельница  № 10 по  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Цоликлон</w:t>
            </w:r>
            <w:proofErr w:type="gramStart"/>
            <w:r w:rsidRPr="00BA4782">
              <w:rPr>
                <w:color w:val="000000"/>
                <w:sz w:val="16"/>
              </w:rPr>
              <w:t xml:space="preserve"> А</w:t>
            </w:r>
            <w:proofErr w:type="gramEnd"/>
            <w:r w:rsidRPr="00BA4782">
              <w:rPr>
                <w:color w:val="000000"/>
                <w:sz w:val="16"/>
              </w:rPr>
              <w:t>нти – В         флакон-капельница  № 10 по10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РФМК-тест  флаконный вариант на 200 определений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280 800,0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Ершики для пробирок №1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75 600,0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39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Капилляры Панченкова (к СОЭ-метру)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Покровные  стекла 24х50х0,18 мм (упак 500шт)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упак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41 760,0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Стекло предметное СО-2 для растяжки мазков 26×76 мм х 2,0   предметное, прямоугольное, размер 26×76 мм, толщина 2.0 мм, шлифованные края, с фаской по одному краю для растяжки мазков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18 900,0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Пробирки центрифужные        10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261 000,0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Стекла предметные со шлифованными краями  76,2х25,4мм 1мм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96 000,0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Стекла предметные со шлифованными краями  с полосой для записи 76,2х25,4мм   1мм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proofErr w:type="gramStart"/>
            <w:r w:rsidRPr="00BA4782">
              <w:rPr>
                <w:color w:val="000000"/>
                <w:sz w:val="16"/>
              </w:rPr>
              <w:t>шт</w:t>
            </w:r>
            <w:proofErr w:type="gramEnd"/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3000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78 000,0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АЛАНИНАМИНОТРАНСФЕРАЗА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BioSystems S.A (Испания), печеночный профиль; 2-оксиглютарат/L-аланин, кинетика; жидкий </w:t>
            </w:r>
            <w:r w:rsidRPr="00BA4782">
              <w:rPr>
                <w:color w:val="000000"/>
                <w:sz w:val="16"/>
              </w:rPr>
              <w:lastRenderedPageBreak/>
              <w:t>монореагент, количество исследований -1800 фасовка 8х60мл+8х15мл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267 140,0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46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АСПАРТАТМИНОТРАНСФЕРАЗА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>урбидиметрический  ВА400, производства компании BioSystems S.A (Испания), печеночный профиль; 2-оксиглютарат/L-аспартат, кинетика; жидкий монореагент, количество исследований - 1800, фасовка  8х60мл+8х15мл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267 140,0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БИЛИРУБИН (ОБЩИЙ)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>урбидиметрический  ВА400, производства компании BioSystems S.A (Испания), печеночный профиль; диазосульфониловая кислота, конечная точка; жидкий биреагент, количество исследований - 1800, фасовка  8x60мл+8х15мл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485 160,0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БИЛИРУБИН (ПРЯМОЙ)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 xml:space="preserve">урбидиметрический   ВА400, производства компании BioSystems S.A (Испания), печеночный профиль; </w:t>
            </w:r>
            <w:r w:rsidRPr="00BA4782">
              <w:rPr>
                <w:color w:val="000000"/>
                <w:sz w:val="16"/>
              </w:rPr>
              <w:lastRenderedPageBreak/>
              <w:t>диазосульфониловая кислота/нитрит натрия, конечная точка; жидкий биреагент, количество исследований – 900, фасовка 300мл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434 970,0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49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ГЛЮКОЗА набор биохимических реагентов из комплекта Анализатор биохимический-турбидиметрический  ВА400, производства компании BioSystems S.A (Испания), диабетический профиль; глюкооксидаза, конечная точка; жидкий монореагент, количество исследований - 1800,фасовка  10х60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261 800,0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КРЕАТИНИН набор биохимических реагентов из комплекта Анализатор биохимический-турбидиметрический  ВА400, производства компании BioSystems S.A (Испания), почечный профиль; щелочной пикрат (метод Яффе), конечная точка; жидкий монореагент, количество исследований - 1800, фасовка  600мл (10х60мл)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472 990,0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МОЧЕВАЯ КИСЛОТА набор биохимических реагентов из комплекта Анализатор биохимический - турбидиметрический ВА400, производства компании BioSystems S.A (Испания), почечный профиль; уриказа/пероксидаз</w:t>
            </w:r>
            <w:r w:rsidRPr="00BA4782">
              <w:rPr>
                <w:color w:val="000000"/>
                <w:sz w:val="16"/>
              </w:rPr>
              <w:lastRenderedPageBreak/>
              <w:t>а, конечная точка; жидкий монореагент, количество исследований - 1800, фасовка  600мл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72 000,0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МОЧЕВИНА набор биохимических реагентов из комплекта Анализатор биохимический-турбидиметрический   ВА400, производства компании BioSystems S.A (Испания), почечный профиль; уреаза/глутаматдегидрогеназа, фиксированное время; жидкий монореагент, количество исследований - 1800,фасовка,  600 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12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876 000,0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ОБЩИЙ БЕЛОК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>урбидиметрический   ВА400, производства компании BioSystems S.A (Испания), общий скрининговый профиль; биуретовый реактив, конечная точка; жидкий монореагент, количество исследований - 480 фасовка 2х60мл+2х20мл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336 680,0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BioSystems S.A (Испания), общий скрининговый профиль; </w:t>
            </w:r>
            <w:r w:rsidRPr="00BA4782">
              <w:rPr>
                <w:color w:val="000000"/>
                <w:sz w:val="16"/>
              </w:rPr>
              <w:lastRenderedPageBreak/>
              <w:t>глицеролфосфатоксидаза/пероксидаза, конечная точка; жидкий монореагент,  количество исследований - 1800, фасовка 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7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1 138 655,0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ХОЛЕСТЕРИН набор биохимических реагентов из комплекта  Анализатор биохимический-турбидиметрический  ВА400, производства компании BioSystems S.A (Испания), липидный профиль; холестеролоксидаза / пероксидаза, конечная точка; жидкий монореагент, количество исследований - 1800,  фасовка10х60мл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895 720,0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HDL-ХОЛЕСТЕРИН  набор биохимических реагентов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 ВА400, производства компании 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  фасовка  2x60мл+2х20мл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5 957 550,0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LDL-ХОЛЕСТЕРИН набор биохимических реагентов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 ВА400, производства компании </w:t>
            </w:r>
            <w:r w:rsidRPr="00BA4782">
              <w:rPr>
                <w:color w:val="000000"/>
                <w:sz w:val="16"/>
              </w:rPr>
              <w:lastRenderedPageBreak/>
              <w:t>BioSystems S.A (Испания), липидный профиль; прямой метод без осаждения, холестеролоксидаза/детергент; фиксированное время, жидкий биреагент, количество исследований - 480,фасовка  2x60мл+2х20мл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45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9 097 875,0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58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АЛЬФА-АМИЛАЗА ПРЯМАЯ набор биохимических реагентов из комплекта Анализатор биохимических-турбидиметрический  ВА400, производства компании BioSystems S.A (Испания), панкреатический профиль; прямой субстрат, кинетика; жидкий монореагент,  количество исследований - 480, фасовка 8х20мл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1 126 110,0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59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 xml:space="preserve">ЩЕЛОЧНАЯ ФОСФАТАЗА ДЭА набор биохимических реагентов из комплекта Анализатор биохимический </w:t>
            </w:r>
            <w:proofErr w:type="gramStart"/>
            <w:r w:rsidRPr="00BA4782">
              <w:rPr>
                <w:color w:val="000000"/>
                <w:sz w:val="16"/>
              </w:rPr>
              <w:t>-т</w:t>
            </w:r>
            <w:proofErr w:type="gramEnd"/>
            <w:r w:rsidRPr="00BA4782">
              <w:rPr>
                <w:color w:val="000000"/>
                <w:sz w:val="16"/>
              </w:rPr>
              <w:t>урбидиметрический   ВА400, производства компании BioSystems S.A (Испания), печеночный профиль; диэтаноламиновый буфер, кинетика; жидкий монореагент, количество исследований- 900, фасовка 4x60мл, 4x15мл.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357 560,0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60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ЖЕЛЕЗО  (ФЕРРОЗИН) набор биохимических реагентов из комплекта Анализатор биохимический-турбидиметрически</w:t>
            </w:r>
            <w:r w:rsidRPr="00BA4782">
              <w:rPr>
                <w:color w:val="000000"/>
                <w:sz w:val="16"/>
              </w:rPr>
              <w:lastRenderedPageBreak/>
              <w:t>й  ВА400, производства компании BioSystems S.A (Испания), РК-МТ-7№012210 7№012210, диагностика анемий; феррозин, конечная точка; жидкий биреагент, количество исследований - 900,фасовка 4х60мл+4х15мл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8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313 120,0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61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ЖЕЛЕЗОСВЯЗЫВАЮЩАЯ СПОСОБНОСТЬ набор биохимических реагентов из комплекта Анализатор биохимических-турбидиметрический  ВА400, производства компании BioSystems S.A (Испания), РК-МТ-7№012210  диагностика анемий; феррозин, конечная точка; жидкий биреагент, количество исследований - 1800,фасовка 10х60мл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216 180,0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62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rFonts w:ascii="Arial" w:hAnsi="Arial" w:cs="Arial"/>
                <w:sz w:val="16"/>
              </w:rPr>
            </w:pPr>
            <w:r w:rsidRPr="00BA4782">
              <w:rPr>
                <w:rFonts w:ascii="Arial" w:hAnsi="Arial" w:cs="Arial"/>
                <w:sz w:val="16"/>
              </w:rPr>
              <w:t>ГАММА-ГЛУТАМИЛТРАНСФЕРАЗА из комплекта Анализатор биохимический-турбидиметрический ВА400  4x60мл+4х15мл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296 420,0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63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БИОХИМИЧЕСКИЙ КАЛИБРАТОР (Human) из комплекта Анализатор биохимический-турбидиметрический ВА400, 5х5мл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64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БИОХИМИЧЕСКАЯ КОНТРОЛЬНАЯ СЫВОРОТКА (HUMAN) УРОВЕНЬ l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ВА400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lastRenderedPageBreak/>
              <w:t>65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БИОХИМИЧЕСКАЯ КОНТРОЛЬНАЯ СЫВОРОТКА (HUMAN) УРОВЕНЬ 2 из комплекта Анализатор биохимически</w:t>
            </w:r>
            <w:proofErr w:type="gramStart"/>
            <w:r w:rsidRPr="00BA4782">
              <w:rPr>
                <w:color w:val="000000"/>
                <w:sz w:val="16"/>
              </w:rPr>
              <w:t>й-</w:t>
            </w:r>
            <w:proofErr w:type="gramEnd"/>
            <w:r w:rsidRPr="00BA4782">
              <w:rPr>
                <w:color w:val="000000"/>
                <w:sz w:val="16"/>
              </w:rPr>
              <w:t xml:space="preserve"> турбидиметрический ВА400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289 710,0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66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Реакционный ротор (10) из комплекта анализатор биохимический 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247 200,0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67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Кюветы для образцов (1000) из комплекта анализатор биохимический-турбидиметрический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уп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182 850,0</w:t>
            </w:r>
          </w:p>
        </w:tc>
      </w:tr>
      <w:tr w:rsidR="009E1779" w:rsidRPr="00BA4782" w:rsidTr="00BA47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423"/>
          <w:jc w:val="center"/>
        </w:trPr>
        <w:tc>
          <w:tcPr>
            <w:tcW w:w="5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68</w:t>
            </w:r>
          </w:p>
        </w:tc>
        <w:tc>
          <w:tcPr>
            <w:tcW w:w="141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КГП «Рудненская городская поликлиника» УЗАКО</w:t>
            </w:r>
          </w:p>
        </w:tc>
        <w:tc>
          <w:tcPr>
            <w:tcW w:w="148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Концентрированный моющий раствор 500-мл из комплекта Анализатор биохимический-турбидиметрический BA400</w:t>
            </w:r>
          </w:p>
        </w:tc>
        <w:tc>
          <w:tcPr>
            <w:tcW w:w="9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наб</w:t>
            </w:r>
          </w:p>
        </w:tc>
        <w:tc>
          <w:tcPr>
            <w:tcW w:w="8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4</w:t>
            </w:r>
          </w:p>
        </w:tc>
        <w:tc>
          <w:tcPr>
            <w:tcW w:w="11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DDP</w:t>
            </w:r>
          </w:p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(ИНКОТЕРМС 2010)</w:t>
            </w:r>
          </w:p>
        </w:tc>
        <w:tc>
          <w:tcPr>
            <w:tcW w:w="112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sz w:val="16"/>
                <w:lang w:val="kk-KZ"/>
              </w:rPr>
            </w:pPr>
            <w:r w:rsidRPr="00BA4782">
              <w:rPr>
                <w:color w:val="000000"/>
                <w:sz w:val="16"/>
                <w:lang w:val="kk-KZ"/>
              </w:rPr>
              <w:t>В течение года по согласованому графику Заказчика до 31.12.2022 года</w:t>
            </w:r>
          </w:p>
        </w:tc>
        <w:tc>
          <w:tcPr>
            <w:tcW w:w="15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Костанайская область, г</w:t>
            </w:r>
            <w:proofErr w:type="gramStart"/>
            <w:r w:rsidRPr="00BA4782">
              <w:rPr>
                <w:color w:val="000000"/>
                <w:sz w:val="16"/>
              </w:rPr>
              <w:t>.Р</w:t>
            </w:r>
            <w:proofErr w:type="gramEnd"/>
            <w:r w:rsidRPr="00BA4782">
              <w:rPr>
                <w:color w:val="000000"/>
                <w:sz w:val="16"/>
              </w:rPr>
              <w:t>удный, ул. 50 лет Октября, 102А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0</w:t>
            </w:r>
          </w:p>
        </w:tc>
        <w:tc>
          <w:tcPr>
            <w:tcW w:w="155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1779" w:rsidRPr="00BA4782" w:rsidRDefault="009E1779" w:rsidP="00BA4782">
            <w:pPr>
              <w:jc w:val="center"/>
              <w:rPr>
                <w:color w:val="000000"/>
                <w:sz w:val="16"/>
              </w:rPr>
            </w:pPr>
            <w:r w:rsidRPr="00BA4782">
              <w:rPr>
                <w:color w:val="000000"/>
                <w:sz w:val="16"/>
              </w:rPr>
              <w:t>311 180,0</w:t>
            </w:r>
          </w:p>
        </w:tc>
      </w:tr>
    </w:tbl>
    <w:p w:rsidR="009E1779" w:rsidRDefault="009E1779" w:rsidP="00AE67A2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4636D8" w:rsidRPr="0033185C" w:rsidRDefault="004636D8" w:rsidP="004636D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D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Талап етілетін жеткізу мерзімі және жеткізу мерзімі: </w:t>
      </w:r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келісім-шарт жасалған күннен бастап 60 күнтізбелік </w:t>
      </w:r>
      <w:proofErr w:type="gramStart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к</w:t>
      </w:r>
      <w:proofErr w:type="gramEnd"/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үн, DDP (INCOTERMS 2010)</w:t>
      </w:r>
      <w:r w:rsidRPr="00B070DF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</w:t>
      </w:r>
      <w:r w:rsidRPr="00B070D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4636D8" w:rsidRPr="0033185C" w:rsidRDefault="004636D8" w:rsidP="004636D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Тауар мына </w:t>
      </w:r>
      <w:proofErr w:type="gramStart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мекен-жай</w:t>
      </w:r>
      <w:proofErr w:type="gramEnd"/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жеткізілуі керек: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Қазанның 50 жылдық</w:t>
      </w:r>
      <w:r w:rsidRPr="00B070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көшесі 102а.</w:t>
      </w:r>
    </w:p>
    <w:p w:rsidR="004636D8" w:rsidRPr="00B40972" w:rsidRDefault="004636D8" w:rsidP="004636D8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2021 жылғы 4 маусымдағы №375 тендерге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</w:t>
      </w:r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егін медициналық көмектің кепілдік берілген көлемі шеңберінде және (немесе) міндетті әлеуметтік медициналық сақтандыру, фармацевтикалық қызметтер жүйесінде сатып алынатын дә</w:t>
      </w:r>
      <w:proofErr w:type="gram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ілік заттарды, медициналық мақсаттағы бұйымдарды және мамандандырылған медициналық мақсаттағы бұйымдарды сатып алудың 1-тарауында көрсетілген бі</w:t>
      </w:r>
      <w:proofErr w:type="gramStart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B25AF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іктілік талаптарына сәйкес келетін барлық әлеуетті өнім берушілер жіберіледі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4636D8" w:rsidRPr="007622DB" w:rsidRDefault="004636D8" w:rsidP="004636D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Тендерлік өтіні</w:t>
      </w:r>
      <w:proofErr w:type="gram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дің соңғы мерзімі 2022 жылдың 28</w:t>
      </w: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нау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рыз</w:t>
      </w: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сағат 09:00-ге дейін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</w:t>
      </w:r>
    </w:p>
    <w:p w:rsidR="004636D8" w:rsidRPr="007622DB" w:rsidRDefault="004636D8" w:rsidP="004636D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Тендерлік өтінімдер салынған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конверттер 2022 жылғы 28</w:t>
      </w: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наурыз</w:t>
      </w: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сағат 11.00-де мына мекенжайда ашылады: Қазақстан Республикасы, Қостанай облысы, Рудный қаласы, Октябрьдің 50 жылдығы көшесі 102а, бас дә</w:t>
      </w:r>
      <w:proofErr w:type="gram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ігердің кабинеті.</w:t>
      </w:r>
    </w:p>
    <w:p w:rsidR="004636D8" w:rsidRPr="007622DB" w:rsidRDefault="004636D8" w:rsidP="004636D8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Әлеуетті жеткізушілер конкурстық өтінімдері бар конверттерді ашу кезінде қатысуы мүмкін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131CC0" w:rsidRPr="007A6BB3" w:rsidRDefault="004636D8" w:rsidP="007A6BB3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</w:t>
      </w:r>
      <w:proofErr w:type="gramStart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осымша</w:t>
      </w:r>
      <w:proofErr w:type="gramEnd"/>
      <w:r w:rsidRPr="000F37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ақпарат пен көмекті қоңырау шалу арқылы алуға болады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8(71431)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sectPr w:rsidR="00131CC0" w:rsidRPr="007A6BB3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ельветика">
    <w:altName w:val="Calibri"/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40"/>
    <w:multiLevelType w:val="hybridMultilevel"/>
    <w:tmpl w:val="AD2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A734A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3739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52034"/>
    <w:rsid w:val="003D6046"/>
    <w:rsid w:val="004636D8"/>
    <w:rsid w:val="0048639A"/>
    <w:rsid w:val="004D0448"/>
    <w:rsid w:val="004D181C"/>
    <w:rsid w:val="00535A4E"/>
    <w:rsid w:val="00552CBB"/>
    <w:rsid w:val="005D41A2"/>
    <w:rsid w:val="00616EE5"/>
    <w:rsid w:val="00636BFE"/>
    <w:rsid w:val="006373FD"/>
    <w:rsid w:val="006B5102"/>
    <w:rsid w:val="007125F2"/>
    <w:rsid w:val="007360EC"/>
    <w:rsid w:val="007600AE"/>
    <w:rsid w:val="007622DB"/>
    <w:rsid w:val="00773BCD"/>
    <w:rsid w:val="007A6BB3"/>
    <w:rsid w:val="007D43FC"/>
    <w:rsid w:val="007E02B0"/>
    <w:rsid w:val="007E5EC9"/>
    <w:rsid w:val="007F5201"/>
    <w:rsid w:val="0081753C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9E1779"/>
    <w:rsid w:val="00A04246"/>
    <w:rsid w:val="00A42F28"/>
    <w:rsid w:val="00A46897"/>
    <w:rsid w:val="00A85D4C"/>
    <w:rsid w:val="00AA7212"/>
    <w:rsid w:val="00AE67A2"/>
    <w:rsid w:val="00AF29EB"/>
    <w:rsid w:val="00B44F98"/>
    <w:rsid w:val="00B46024"/>
    <w:rsid w:val="00BA4782"/>
    <w:rsid w:val="00BB5D57"/>
    <w:rsid w:val="00BC202B"/>
    <w:rsid w:val="00BD1476"/>
    <w:rsid w:val="00BF450F"/>
    <w:rsid w:val="00C20AD5"/>
    <w:rsid w:val="00C74C4C"/>
    <w:rsid w:val="00C97D4C"/>
    <w:rsid w:val="00DC46B3"/>
    <w:rsid w:val="00DF4DB7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qFormat/>
    <w:rsid w:val="007360EC"/>
    <w:pPr>
      <w:keepNext/>
      <w:spacing w:after="0" w:line="240" w:lineRule="auto"/>
      <w:ind w:left="538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7360EC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B4602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rsid w:val="00B46024"/>
    <w:rPr>
      <w:color w:val="333399"/>
      <w:u w:val="single"/>
    </w:rPr>
  </w:style>
  <w:style w:type="character" w:customStyle="1" w:styleId="10">
    <w:name w:val="Заголовок 1 Знак"/>
    <w:basedOn w:val="a0"/>
    <w:link w:val="1"/>
    <w:rsid w:val="007360EC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7360E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 Indent"/>
    <w:basedOn w:val="a"/>
    <w:link w:val="a8"/>
    <w:rsid w:val="007360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360E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9">
    <w:name w:val="Body Text"/>
    <w:basedOn w:val="a"/>
    <w:link w:val="aa"/>
    <w:rsid w:val="007360EC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7360EC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7360E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360E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7360E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360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2">
    <w:name w:val="Основной-2"/>
    <w:uiPriority w:val="99"/>
    <w:rsid w:val="007360EC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customStyle="1" w:styleId="Iauiue">
    <w:name w:val="Iau?iue"/>
    <w:rsid w:val="007360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7360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360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омер страницы"/>
    <w:basedOn w:val="a0"/>
    <w:rsid w:val="007360EC"/>
  </w:style>
  <w:style w:type="paragraph" w:styleId="ac">
    <w:name w:val="header"/>
    <w:basedOn w:val="a"/>
    <w:link w:val="ad"/>
    <w:rsid w:val="007360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360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7360EC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7360EC"/>
    <w:rPr>
      <w:rFonts w:ascii="Times New Roman" w:eastAsia="Times New Roman" w:hAnsi="Times New Roman" w:cs="Times New Roman"/>
      <w:i/>
      <w:sz w:val="24"/>
      <w:szCs w:val="20"/>
    </w:rPr>
  </w:style>
  <w:style w:type="paragraph" w:styleId="ae">
    <w:name w:val="footer"/>
    <w:basedOn w:val="a"/>
    <w:link w:val="af"/>
    <w:rsid w:val="00736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736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360EC"/>
  </w:style>
  <w:style w:type="paragraph" w:customStyle="1" w:styleId="WW-2">
    <w:name w:val="WW-Основной текст 2"/>
    <w:basedOn w:val="a"/>
    <w:rsid w:val="007360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harChar">
    <w:name w:val="Char Char"/>
    <w:basedOn w:val="a"/>
    <w:autoRedefine/>
    <w:rsid w:val="007360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0">
    <w:name w:val="Char Char"/>
    <w:basedOn w:val="a"/>
    <w:autoRedefine/>
    <w:rsid w:val="007360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f1">
    <w:name w:val="Balloon Text"/>
    <w:basedOn w:val="a"/>
    <w:link w:val="af2"/>
    <w:rsid w:val="007360E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360EC"/>
    <w:rPr>
      <w:rFonts w:ascii="Tahoma" w:eastAsia="Times New Roman" w:hAnsi="Tahoma" w:cs="Times New Roman"/>
      <w:sz w:val="16"/>
      <w:szCs w:val="16"/>
    </w:rPr>
  </w:style>
  <w:style w:type="character" w:customStyle="1" w:styleId="FontStyle83">
    <w:name w:val="Font Style83"/>
    <w:rsid w:val="007360EC"/>
    <w:rPr>
      <w:rFonts w:ascii="Times New Roman" w:hAnsi="Times New Roman" w:cs="Times New Roman"/>
      <w:sz w:val="20"/>
      <w:szCs w:val="20"/>
    </w:rPr>
  </w:style>
  <w:style w:type="paragraph" w:customStyle="1" w:styleId="af3">
    <w:name w:val="Знак"/>
    <w:basedOn w:val="a"/>
    <w:autoRedefine/>
    <w:rsid w:val="007360EC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7360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360EC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7360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6">
    <w:name w:val="Содержимое таблицы"/>
    <w:basedOn w:val="a"/>
    <w:rsid w:val="007360EC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j13">
    <w:name w:val="j13"/>
    <w:basedOn w:val="a"/>
    <w:rsid w:val="0073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360EC"/>
  </w:style>
  <w:style w:type="character" w:customStyle="1" w:styleId="af7">
    <w:name w:val="a"/>
    <w:basedOn w:val="a0"/>
    <w:rsid w:val="007360EC"/>
    <w:rPr>
      <w:color w:val="333399"/>
      <w:u w:val="single"/>
    </w:rPr>
  </w:style>
  <w:style w:type="paragraph" w:styleId="af8">
    <w:name w:val="No Spacing"/>
    <w:link w:val="af9"/>
    <w:uiPriority w:val="1"/>
    <w:qFormat/>
    <w:rsid w:val="007360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uiPriority w:val="1"/>
    <w:rsid w:val="007360EC"/>
    <w:rPr>
      <w:rFonts w:ascii="Calibri" w:eastAsia="Calibri" w:hAnsi="Calibri" w:cs="Times New Roman"/>
    </w:rPr>
  </w:style>
  <w:style w:type="paragraph" w:customStyle="1" w:styleId="310">
    <w:name w:val="Основной текст с отступом 31"/>
    <w:basedOn w:val="a"/>
    <w:uiPriority w:val="99"/>
    <w:rsid w:val="007360EC"/>
    <w:pPr>
      <w:spacing w:after="0" w:line="240" w:lineRule="auto"/>
      <w:ind w:firstLine="720"/>
    </w:pPr>
    <w:rPr>
      <w:rFonts w:ascii="Times New Roman" w:eastAsia="Times New Roman" w:hAnsi="Times New Roman" w:cs="Times New Roman CYR"/>
      <w:sz w:val="28"/>
      <w:szCs w:val="20"/>
      <w:lang w:eastAsia="ar-SA"/>
    </w:rPr>
  </w:style>
  <w:style w:type="character" w:customStyle="1" w:styleId="25">
    <w:name w:val="Основной текст (2)_"/>
    <w:basedOn w:val="a0"/>
    <w:link w:val="26"/>
    <w:rsid w:val="007360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360EC"/>
    <w:pPr>
      <w:widowControl w:val="0"/>
      <w:shd w:val="clear" w:color="auto" w:fill="FFFFFF"/>
      <w:spacing w:before="480" w:after="240" w:line="0" w:lineRule="atLeast"/>
    </w:pPr>
    <w:rPr>
      <w:sz w:val="28"/>
      <w:szCs w:val="28"/>
    </w:rPr>
  </w:style>
  <w:style w:type="paragraph" w:customStyle="1" w:styleId="11">
    <w:name w:val="Обычный1"/>
    <w:rsid w:val="007360E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a">
    <w:name w:val="Emphasis"/>
    <w:basedOn w:val="a0"/>
    <w:uiPriority w:val="20"/>
    <w:qFormat/>
    <w:rsid w:val="007360EC"/>
    <w:rPr>
      <w:i/>
      <w:iCs/>
    </w:rPr>
  </w:style>
  <w:style w:type="paragraph" w:customStyle="1" w:styleId="12">
    <w:name w:val="Без интервала1"/>
    <w:rsid w:val="007360E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oduct-description">
    <w:name w:val="product-description"/>
    <w:basedOn w:val="a"/>
    <w:rsid w:val="007360E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cs-CZ" w:eastAsia="zh-CN"/>
    </w:rPr>
  </w:style>
  <w:style w:type="paragraph" w:customStyle="1" w:styleId="320">
    <w:name w:val="Основной текст 32"/>
    <w:basedOn w:val="a"/>
    <w:rsid w:val="007360E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11">
    <w:name w:val="Основной текст 31"/>
    <w:basedOn w:val="a"/>
    <w:rsid w:val="007360E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27</Pages>
  <Words>7120</Words>
  <Characters>40586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Admin</cp:lastModifiedBy>
  <cp:revision>28</cp:revision>
  <dcterms:created xsi:type="dcterms:W3CDTF">2017-05-18T10:37:00Z</dcterms:created>
  <dcterms:modified xsi:type="dcterms:W3CDTF">2022-03-03T08:41:00Z</dcterms:modified>
</cp:coreProperties>
</file>